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tbl>
      <w:tblPr>
        <w:tblOverlap w:val="never"/>
        <w:tblLayout w:type="fixed"/>
        <w:jc w:val="left"/>
      </w:tblPr>
      <w:tblGrid>
        <w:gridCol w:w="715"/>
        <w:gridCol w:w="3336"/>
        <w:gridCol w:w="5822"/>
      </w:tblGrid>
      <w:tr>
        <w:trPr>
          <w:trHeight w:val="49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874" w:h="15067" w:wrap="none" w:vAnchor="page" w:hAnchor="page" w:x="1153" w:y="1130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5"/>
              </w:rPr>
              <w:t>Ходатайство об установлении публичного сервитута</w:t>
            </w:r>
          </w:p>
        </w:tc>
      </w:tr>
      <w:tr>
        <w:trPr>
          <w:trHeight w:val="132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6"/>
              </w:rPr>
              <w:t>1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Министерство цифрового развития, связи и массовых коммуникаций</w:t>
            </w:r>
          </w:p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Российской Федерации</w:t>
            </w:r>
          </w:p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(наименование органа, принимающего решение об установлении публичного</w:t>
            </w:r>
          </w:p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сервитута)</w:t>
            </w:r>
          </w:p>
        </w:tc>
      </w:tr>
      <w:tr>
        <w:trPr>
          <w:trHeight w:val="76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6"/>
              </w:rPr>
              <w:t>2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20" w:lineRule="exact"/>
              <w:ind w:left="160" w:right="0" w:firstLine="0"/>
            </w:pPr>
            <w:r>
              <w:rPr>
                <w:rStyle w:val="CharStyle6"/>
              </w:rPr>
              <w:t>Сведения о лице, представившем ходатайство об установлении публичного сервитута</w:t>
            </w:r>
          </w:p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60" w:after="0" w:line="220" w:lineRule="exact"/>
              <w:ind w:left="0" w:right="0" w:firstLine="0"/>
            </w:pPr>
            <w:r>
              <w:rPr>
                <w:rStyle w:val="CharStyle6"/>
              </w:rPr>
              <w:t>(далее - заявитель):</w:t>
            </w:r>
          </w:p>
        </w:tc>
      </w:tr>
      <w:tr>
        <w:trPr>
          <w:trHeight w:val="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Полное 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Общество с ограниченной ответственностью «Атлас»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Сокращенное наименование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ООО «Атлас»</w:t>
            </w:r>
          </w:p>
        </w:tc>
      </w:tr>
      <w:tr>
        <w:trPr>
          <w:trHeight w:val="76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20" w:lineRule="exact"/>
              <w:ind w:left="340" w:right="0" w:firstLine="0"/>
            </w:pPr>
            <w:r>
              <w:rPr>
                <w:rStyle w:val="CharStyle6"/>
              </w:rPr>
              <w:t>Организационно-правовая</w:t>
            </w:r>
          </w:p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60" w:after="0" w:line="220" w:lineRule="exact"/>
              <w:ind w:left="0" w:right="0" w:firstLine="0"/>
            </w:pPr>
            <w:r>
              <w:rPr>
                <w:rStyle w:val="CharStyle6"/>
              </w:rPr>
              <w:t>форма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Общество с ограниченной ответственностью</w:t>
            </w:r>
          </w:p>
        </w:tc>
      </w:tr>
      <w:tr>
        <w:trPr>
          <w:trHeight w:val="132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115172, город Москва, улица Гончарная, дом 30 стр. 1, помещение Б511</w:t>
            </w:r>
          </w:p>
        </w:tc>
      </w:tr>
      <w:tr>
        <w:trPr>
          <w:trHeight w:val="53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2.5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Адрес электронной почты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fldChar w:fldCharType="begin"/>
            </w:r>
            <w:r>
              <w:rPr>
                <w:rStyle w:val="CharStyle6"/>
              </w:rPr>
              <w:instrText> HYPERLINK "mailto:info@atlascable.net" </w:instrText>
            </w:r>
            <w:r>
              <w:fldChar w:fldCharType="separate"/>
            </w:r>
            <w:r>
              <w:rPr>
                <w:rStyle w:val="Hyperlink"/>
                <w:lang w:val="en-US" w:eastAsia="en-US" w:bidi="en-US"/>
              </w:rPr>
              <w:t>info@atlascable.net</w:t>
            </w:r>
            <w:r>
              <w:fldChar w:fldCharType="end"/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2.6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ОГРН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1187746972676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2.7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ИНН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9705125862</w:t>
            </w:r>
          </w:p>
        </w:tc>
      </w:tr>
      <w:tr>
        <w:trPr>
          <w:trHeight w:val="49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6"/>
              </w:rPr>
              <w:t>3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Сведения о представителе заявителя: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3.1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Фамилия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Жуков</w:t>
            </w:r>
          </w:p>
        </w:tc>
      </w:tr>
      <w:tr>
        <w:trPr>
          <w:trHeight w:val="562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874" w:h="15067" w:wrap="none" w:vAnchor="page" w:hAnchor="page" w:x="1153" w:y="113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Имя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Игорь</w:t>
            </w:r>
          </w:p>
        </w:tc>
      </w:tr>
      <w:tr>
        <w:trPr>
          <w:trHeight w:val="566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874" w:h="15067" w:wrap="none" w:vAnchor="page" w:hAnchor="page" w:x="1153" w:y="1130"/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Отчество (при наличии)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Валерьевич</w:t>
            </w:r>
          </w:p>
        </w:tc>
      </w:tr>
      <w:tr>
        <w:trPr>
          <w:trHeight w:val="53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3.2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Адрес электронной почты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fldChar w:fldCharType="begin"/>
            </w:r>
            <w:r>
              <w:rPr>
                <w:rStyle w:val="CharStyle7"/>
              </w:rPr>
              <w:instrText> HYPERLINK "mailto:am.sheDina@yandex.ru" </w:instrText>
            </w:r>
            <w:r>
              <w:fldChar w:fldCharType="separate"/>
            </w:r>
            <w:r>
              <w:rPr>
                <w:rStyle w:val="Hyperlink"/>
              </w:rPr>
              <w:t>am.sheDina@yandex.ru</w:t>
            </w:r>
            <w:r>
              <w:fldChar w:fldCharType="end"/>
            </w:r>
          </w:p>
        </w:tc>
      </w:tr>
      <w:tr>
        <w:trPr>
          <w:trHeight w:val="5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3.3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Телефон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8-927-792-38-27</w:t>
            </w:r>
          </w:p>
        </w:tc>
      </w:tr>
      <w:tr>
        <w:trPr>
          <w:trHeight w:val="131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20" w:right="0" w:firstLine="0"/>
            </w:pPr>
            <w:r>
              <w:rPr>
                <w:rStyle w:val="CharStyle6"/>
              </w:rPr>
              <w:t>3.4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Доверенность № 01/29/897/23 от 28.09.2023; Доверенность №</w:t>
            </w:r>
            <w:r>
              <w:rPr>
                <w:rStyle w:val="CharStyle8"/>
              </w:rPr>
              <w:t>77/535-н/77-2023-4-1583 от 05.04.2023</w:t>
            </w:r>
          </w:p>
        </w:tc>
      </w:tr>
      <w:tr>
        <w:trPr>
          <w:trHeight w:val="241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6"/>
              </w:rPr>
              <w:t>4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Прошу установить публичный сервитут в отношении земель и земельных участков в целях, предусмотренных п.1 ст.39.37 Земельного кодекса РФ, строительства линий и сооружений связи - линейного сооружения связи «ТЕА следующего поколения». Общая площадь 247273 кв.м в границах, указанных в схеме расположения границ публичного сервитута. Границы публичного сервитута определены в пределах, не превышающих размеров охранной согласно Правилам установления охранных «Правил охраны линий и сооружений связи Российской Федерации», утвержденных постановлением Правительства Российской Федерации от 9 июня 1995 года № 578.</w:t>
            </w:r>
          </w:p>
        </w:tc>
      </w:tr>
      <w:tr>
        <w:trPr>
          <w:trHeight w:val="50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320" w:firstLine="0"/>
            </w:pPr>
            <w:r>
              <w:rPr>
                <w:rStyle w:val="CharStyle6"/>
              </w:rPr>
              <w:t>5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74" w:h="15067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Испрашиваемый срок публичного сервитута 10 лет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715"/>
        <w:gridCol w:w="9158"/>
      </w:tblGrid>
      <w:tr>
        <w:trPr>
          <w:trHeight w:val="160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6"/>
              </w:rPr>
              <w:t>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 возникновении таких обстоятельств) 10 дней.</w:t>
            </w:r>
          </w:p>
        </w:tc>
      </w:tr>
      <w:tr>
        <w:trPr>
          <w:trHeight w:val="711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320" w:right="0" w:firstLine="0"/>
            </w:pPr>
            <w:r>
              <w:rPr>
                <w:rStyle w:val="CharStyle6"/>
              </w:rPr>
              <w:t>7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Обоснование необходимости установления публичного сервитута. В соответствии со ст. 39.40 Земельного кодекса РФ с ходатайством об установлении публичного вправе обратиться организация, являющаяся субъектов естественных монополий. ПАО «Ростелеком» является естественной монополией, а так же собственником ООО «Атлас» согласно справке о цепочке собственников.</w:t>
            </w:r>
          </w:p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На основании приказа №01/01/940-19 от 22.07.2019 о реализации инвестиционного проекта ПАО «Ростелеком» реализует проект по строительству новой волоконно</w:t>
              <w:softHyphen/>
              <w:t xml:space="preserve">оптической линии связи (ВОЛС) от западных до восточных границ Российской Федерации под рабочим названием ТЕА </w:t>
            </w:r>
            <w:r>
              <w:rPr>
                <w:rStyle w:val="CharStyle6"/>
                <w:lang w:val="en-US" w:eastAsia="en-US" w:bidi="en-US"/>
              </w:rPr>
              <w:t xml:space="preserve">NEXT </w:t>
            </w:r>
            <w:r>
              <w:rPr>
                <w:rStyle w:val="CharStyle6"/>
              </w:rPr>
              <w:t>(«Транзит Европа — Азия следующего поколения»).</w:t>
            </w:r>
          </w:p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На основании рекогносцировочного обследования на местности по трассе «Строительство ТЕА следующего поколения» составлен и утвержден предварительный акт выбора трассы. В работу принят 1 вариант прохождения.</w:t>
            </w:r>
          </w:p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С целью выявления правообладателей земельных участков, расположенных на пути следования трассы, получены выписки из ЕГРН.</w:t>
            </w:r>
          </w:p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 xml:space="preserve">Администрация Куйбышевского района подтвердила согласование размещения объекта письмом «О согласовании местоположения границ объекта ВОЛС </w:t>
            </w:r>
            <w:r>
              <w:rPr>
                <w:rStyle w:val="CharStyle6"/>
                <w:lang w:val="en-US" w:eastAsia="en-US" w:bidi="en-US"/>
              </w:rPr>
              <w:t xml:space="preserve">TEA NEXT» </w:t>
            </w:r>
            <w:r>
              <w:rPr>
                <w:rStyle w:val="CharStyle6"/>
              </w:rPr>
              <w:t>от 23.01.2024 № 02-14/303.</w:t>
            </w:r>
          </w:p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Право на пересечение автомобильных дорог подземным кабелем ВОЛС получено от Владельца дорог, что подтверждает Договор на прокладку и эксплуатацию инженерных коммуникаций в границах полосы отвода автомобильных дорог Новосибирской области №07-02-02/19/24 от 12.02.2024.</w:t>
            </w:r>
          </w:p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Учитывая изложенное, установление публичного сервитута является единственным возможным вариантом оформления земельно-правовых отношений на период размещения объекта.</w:t>
            </w:r>
          </w:p>
        </w:tc>
      </w:tr>
      <w:tr>
        <w:trPr>
          <w:trHeight w:val="2429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220" w:lineRule="exact"/>
              <w:ind w:left="0" w:right="300" w:firstLine="0"/>
            </w:pPr>
            <w:r>
              <w:rPr>
                <w:rStyle w:val="CharStyle6"/>
              </w:rPr>
              <w:t>8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74" w:h="11146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нужд): не требуется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tbl>
      <w:tblPr>
        <w:tblOverlap w:val="never"/>
        <w:tblLayout w:type="fixed"/>
        <w:jc w:val="left"/>
      </w:tblPr>
      <w:tblGrid>
        <w:gridCol w:w="715"/>
        <w:gridCol w:w="4325"/>
        <w:gridCol w:w="3264"/>
        <w:gridCol w:w="1570"/>
      </w:tblGrid>
      <w:tr>
        <w:trPr>
          <w:trHeight w:val="12634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80" w:right="0" w:firstLine="0"/>
            </w:pPr>
            <w:r>
              <w:rPr>
                <w:rStyle w:val="CharStyle6"/>
              </w:rPr>
              <w:t>9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</w:p>
        </w:tc>
        <w:tc>
          <w:tcPr>
            <w:shd w:val="clear" w:color="auto" w:fill="FFFFFF"/>
            <w:gridSpan w:val="2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54:14:025509:334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54:14:025509:1184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54:14:025509:1397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54:14:025509:1180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54:14:025509:1186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180" w:right="0" w:firstLine="0"/>
            </w:pPr>
            <w:r>
              <w:rPr>
                <w:rStyle w:val="CharStyle9"/>
              </w:rPr>
              <w:t>ЕЗ 54:14:025509:1038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88" w:lineRule="exact"/>
              <w:ind w:left="180" w:right="0" w:firstLine="0"/>
            </w:pPr>
            <w:r>
              <w:rPr>
                <w:rStyle w:val="CharStyle9"/>
              </w:rPr>
              <w:t>(54:14:025509:1027)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54:14:025509:1203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54:14:025509:1162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54:14:025509:1412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54:14:025509:332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54:14:025504:189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54:14:025504:172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180" w:right="0" w:firstLine="0"/>
            </w:pPr>
            <w:r>
              <w:rPr>
                <w:rStyle w:val="CharStyle9"/>
              </w:rPr>
              <w:t>ЕЗ 54:14:025504:171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88" w:lineRule="exact"/>
              <w:ind w:left="180" w:right="0" w:firstLine="0"/>
            </w:pPr>
            <w:r>
              <w:rPr>
                <w:rStyle w:val="CharStyle9"/>
              </w:rPr>
              <w:t>(54:14:025504:169)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54:14:025503:1001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54:14:025503:1008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54:14:025505:813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88" w:lineRule="exact"/>
              <w:ind w:left="180" w:right="0" w:firstLine="0"/>
            </w:pPr>
            <w:r>
              <w:rPr>
                <w:rStyle w:val="CharStyle9"/>
              </w:rPr>
              <w:t>54:14:025505:148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69" w:lineRule="exact"/>
              <w:ind w:left="180" w:right="0" w:firstLine="0"/>
            </w:pPr>
            <w:r>
              <w:rPr>
                <w:rStyle w:val="CharStyle9"/>
              </w:rPr>
              <w:t>ЕЗ 54:14:025505:812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80" w:right="0" w:firstLine="0"/>
            </w:pPr>
            <w:r>
              <w:rPr>
                <w:rStyle w:val="CharStyle9"/>
              </w:rPr>
              <w:t>(54:14:025505:775,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80" w:right="0" w:firstLine="0"/>
            </w:pPr>
            <w:r>
              <w:rPr>
                <w:rStyle w:val="CharStyle9"/>
              </w:rPr>
              <w:t>54:14:025505:777,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80" w:right="0" w:firstLine="0"/>
            </w:pPr>
            <w:r>
              <w:rPr>
                <w:rStyle w:val="CharStyle9"/>
              </w:rPr>
              <w:t>54:14:025505:778,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80" w:right="0" w:firstLine="0"/>
            </w:pPr>
            <w:r>
              <w:rPr>
                <w:rStyle w:val="CharStyle9"/>
              </w:rPr>
              <w:t>54:14:025505:779,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9" w:lineRule="exact"/>
              <w:ind w:left="180" w:right="0" w:firstLine="0"/>
            </w:pPr>
            <w:r>
              <w:rPr>
                <w:rStyle w:val="CharStyle9"/>
              </w:rPr>
              <w:t>54:14:025505:781)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60" w:line="200" w:lineRule="exact"/>
              <w:ind w:left="180" w:right="0" w:firstLine="0"/>
            </w:pPr>
            <w:r>
              <w:rPr>
                <w:rStyle w:val="CharStyle9"/>
              </w:rPr>
              <w:t>ЕЗ 54:14:025505:773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60" w:after="0" w:line="288" w:lineRule="exact"/>
              <w:ind w:left="180" w:right="0" w:firstLine="0"/>
            </w:pPr>
            <w:r>
              <w:rPr>
                <w:rStyle w:val="CharStyle9"/>
              </w:rPr>
              <w:t>(54:14:025505:772)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54:14:025505:923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54:14:025505:1160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54:14:025506:1049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54:14:025507:739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54:14:025507:56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54:14:025507:1169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54:14:025507:624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  <w:lang w:val="en-US" w:eastAsia="en-US" w:bidi="en-US"/>
              </w:rPr>
              <w:t>54:14:025507:1124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54:14:025507:1126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54:14:025507:1159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54:14:025507:858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54:14:025507:50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  <w:lang w:val="en-US" w:eastAsia="en-US" w:bidi="en-US"/>
              </w:rPr>
              <w:t>54:14:025507:1164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54:14:025509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54:14:025505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88" w:lineRule="exact"/>
              <w:ind w:left="180" w:right="0" w:firstLine="0"/>
            </w:pPr>
            <w:r>
              <w:rPr>
                <w:rStyle w:val="CharStyle9"/>
              </w:rPr>
              <w:t>54:14:025506</w:t>
            </w:r>
          </w:p>
        </w:tc>
      </w:tr>
      <w:tr>
        <w:trPr>
          <w:trHeight w:val="1037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80" w:right="0" w:firstLine="0"/>
            </w:pPr>
            <w:r>
              <w:rPr>
                <w:rStyle w:val="CharStyle6"/>
              </w:rPr>
              <w:t>10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-</w:t>
            </w:r>
          </w:p>
        </w:tc>
      </w:tr>
      <w:tr>
        <w:trPr>
          <w:trHeight w:val="490" w:hRule="exact"/>
        </w:trPr>
        <w:tc>
          <w:tcPr>
            <w:shd w:val="clear" w:color="auto" w:fill="FFFFFF"/>
            <w:vMerge w:val="restart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280" w:right="0" w:firstLine="0"/>
            </w:pPr>
            <w:r>
              <w:rPr>
                <w:rStyle w:val="CharStyle6"/>
              </w:rPr>
              <w:t>11</w:t>
            </w:r>
          </w:p>
        </w:tc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20" w:lineRule="exact"/>
              <w:ind w:left="0" w:right="0" w:firstLine="0"/>
            </w:pPr>
            <w:r>
              <w:rPr>
                <w:rStyle w:val="CharStyle6"/>
              </w:rPr>
              <w:t>Сведения о способах представления результатов рассмотрения ходатайства:</w:t>
            </w:r>
          </w:p>
        </w:tc>
      </w:tr>
      <w:tr>
        <w:trPr>
          <w:trHeight w:val="1051" w:hRule="exact"/>
        </w:trPr>
        <w:tc>
          <w:tcPr>
            <w:shd w:val="clear" w:color="auto" w:fill="FFFFFF"/>
            <w:vMerge/>
            <w:tcBorders>
              <w:left w:val="single" w:sz="4"/>
            </w:tcBorders>
            <w:vAlign w:val="top"/>
          </w:tcPr>
          <w:p>
            <w:pPr>
              <w:framePr w:w="9874" w:h="15211" w:wrap="none" w:vAnchor="page" w:hAnchor="page" w:x="1153" w:y="1130"/>
            </w:pPr>
          </w:p>
        </w:tc>
        <w:tc>
          <w:tcPr>
            <w:shd w:val="clear" w:color="auto" w:fill="FFFFFF"/>
            <w:gridSpan w:val="2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в виде электронного документа, который направляется уполномоченным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органом заявителю посредством электронной почты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74" w:lineRule="exact"/>
              <w:ind w:left="0" w:right="0" w:firstLine="0"/>
            </w:pPr>
            <w:r>
              <w:rPr>
                <w:rStyle w:val="CharStyle6"/>
              </w:rPr>
              <w:t>Результат рассмотрения ходатайства прошу направить на адрес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0" w:after="60" w:line="220" w:lineRule="exact"/>
              <w:ind w:left="0" w:right="0" w:firstLine="0"/>
            </w:pPr>
            <w:r>
              <w:rPr>
                <w:rStyle w:val="CharStyle6"/>
              </w:rPr>
              <w:t>Да</w:t>
            </w:r>
          </w:p>
          <w:p>
            <w:pPr>
              <w:pStyle w:val="Style3"/>
              <w:framePr w:w="9874" w:h="15211" w:wrap="none" w:vAnchor="page" w:hAnchor="page" w:x="1153" w:y="1130"/>
              <w:widowControl w:val="0"/>
              <w:keepNext w:val="0"/>
              <w:keepLines w:val="0"/>
              <w:shd w:val="clear" w:color="auto" w:fill="auto"/>
              <w:bidi w:val="0"/>
              <w:jc w:val="center"/>
              <w:spacing w:before="60" w:after="0" w:line="220" w:lineRule="exact"/>
              <w:ind w:left="0" w:right="0" w:firstLine="0"/>
            </w:pPr>
            <w:r>
              <w:rPr>
                <w:rStyle w:val="CharStyle6"/>
              </w:rPr>
              <w:t>(да/нет)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0"/>
        <w:framePr w:wrap="none" w:vAnchor="page" w:hAnchor="page" w:x="1904" w:y="125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12"/>
          <w:b w:val="0"/>
          <w:bCs w:val="0"/>
        </w:rPr>
        <w:t xml:space="preserve">электронной почты: </w:t>
      </w:r>
      <w:r>
        <w:fldChar w:fldCharType="begin"/>
      </w:r>
      <w:r>
        <w:rPr>
          <w:rStyle w:val="CharStyle13"/>
        </w:rPr>
        <w:instrText> HYPERLINK "mailto:am.shepina@yandex.ru" </w:instrText>
      </w:r>
      <w:r>
        <w:fldChar w:fldCharType="separate"/>
      </w:r>
      <w:r>
        <w:rPr>
          <w:rStyle w:val="Hyperlink"/>
          <w:b/>
          <w:bCs/>
        </w:rPr>
        <w:t>am.shepina@yandex.ru</w:t>
      </w:r>
      <w:r>
        <w:fldChar w:fldCharType="end"/>
      </w:r>
    </w:p>
    <w:p>
      <w:pPr>
        <w:pStyle w:val="Style3"/>
        <w:framePr w:w="7507" w:h="893" w:hRule="exact" w:wrap="none" w:vAnchor="page" w:hAnchor="page" w:x="1914" w:y="1698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виде бумажного документа, который заявитель получает непосредственно при личном обращении или посредством почтового отправления</w:t>
      </w:r>
    </w:p>
    <w:p>
      <w:pPr>
        <w:pStyle w:val="Style3"/>
        <w:framePr w:w="7517" w:h="610" w:hRule="exact" w:wrap="none" w:vAnchor="page" w:hAnchor="page" w:x="1904" w:y="2734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Результат рассмотрения ходатайства прошу направить на почтовый адрес: </w:t>
      </w:r>
      <w:r>
        <w:rPr>
          <w:rStyle w:val="CharStyle14"/>
        </w:rPr>
        <w:t>603132, г. Нижний Новгород, пр. Ленина, д. 30, корпус 5, кв. 85</w:t>
      </w:r>
    </w:p>
    <w:p>
      <w:pPr>
        <w:pStyle w:val="Style3"/>
        <w:framePr w:wrap="none" w:vAnchor="page" w:hAnchor="page" w:x="10026" w:y="231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</w:t>
      </w:r>
    </w:p>
    <w:p>
      <w:pPr>
        <w:pStyle w:val="Style3"/>
        <w:framePr w:wrap="none" w:vAnchor="page" w:hAnchor="page" w:x="9776" w:y="259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(да/нет)</w:t>
      </w:r>
    </w:p>
    <w:p>
      <w:pPr>
        <w:pStyle w:val="Style3"/>
        <w:framePr w:wrap="none" w:vAnchor="page" w:hAnchor="page" w:x="1347" w:y="3651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12</w:t>
      </w:r>
    </w:p>
    <w:p>
      <w:pPr>
        <w:pStyle w:val="Style3"/>
        <w:framePr w:w="9744" w:h="4201" w:hRule="exact" w:wrap="none" w:vAnchor="page" w:hAnchor="page" w:x="1904" w:y="3598"/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Документы, прилагаемые к ходатайству: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307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Схема расположения публичного сервитута, включающая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в формате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xml </w:t>
      </w: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и </w:t>
      </w:r>
      <w:r>
        <w:rPr>
          <w:lang w:val="en-US" w:eastAsia="en-US" w:bidi="en-US"/>
          <w:w w:val="100"/>
          <w:spacing w:val="0"/>
          <w:color w:val="000000"/>
          <w:position w:val="0"/>
        </w:rPr>
        <w:t xml:space="preserve">pdf </w:t>
      </w:r>
      <w:r>
        <w:fldChar w:fldCharType="begin"/>
      </w:r>
      <w:r>
        <w:rPr>
          <w:rStyle w:val="CharStyle14"/>
        </w:rPr>
        <w:instrText> HYPERLINK "https://disk.yandex.ru/d/zApUj9AZN5YJfg" </w:instrText>
      </w:r>
      <w:r>
        <w:fldChar w:fldCharType="separate"/>
      </w:r>
      <w:r>
        <w:rPr>
          <w:rStyle w:val="Hyperlink"/>
          <w:lang w:val="en-US" w:eastAsia="en-US" w:bidi="en-US"/>
        </w:rPr>
        <w:t>https://disk</w:t>
      </w:r>
      <w:r>
        <w:rPr>
          <w:rStyle w:val="Hyperlink"/>
        </w:rPr>
        <w:t>.</w:t>
      </w:r>
      <w:r>
        <w:rPr>
          <w:rStyle w:val="Hyperlink"/>
          <w:lang w:val="en-US" w:eastAsia="en-US" w:bidi="en-US"/>
        </w:rPr>
        <w:t>yandex</w:t>
      </w:r>
      <w:r>
        <w:rPr>
          <w:rStyle w:val="Hyperlink"/>
        </w:rPr>
        <w:t>.</w:t>
      </w:r>
      <w:r>
        <w:rPr>
          <w:rStyle w:val="Hyperlink"/>
          <w:lang w:val="en-US" w:eastAsia="en-US" w:bidi="en-US"/>
        </w:rPr>
        <w:t>ru/d/zApUj9AZN</w:t>
      </w:r>
      <w:r>
        <w:rPr>
          <w:rStyle w:val="Hyperlink"/>
        </w:rPr>
        <w:t>5</w:t>
      </w:r>
      <w:r>
        <w:rPr>
          <w:rStyle w:val="Hyperlink"/>
          <w:lang w:val="en-US" w:eastAsia="en-US" w:bidi="en-US"/>
        </w:rPr>
        <w:t>YJfg</w:t>
      </w:r>
      <w:r>
        <w:fldChar w:fldCharType="end"/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3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Копия доверенности 01/29/897/23 от 28.09.2023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2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Копия доверенности </w:t>
      </w:r>
      <w:r>
        <w:rPr>
          <w:rStyle w:val="CharStyle16"/>
        </w:rPr>
        <w:t>77/535-н/77-2023-4-1583 от 05.04.2023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30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Копия Приказа о реализации инвестиционного проекта №01/01/940-19 от 22.07.2019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29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Выписка из реестра СЕМ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30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Справка о цепочке собственников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29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Предварительный акт выбора трассы</w:t>
      </w:r>
    </w:p>
    <w:p>
      <w:pPr>
        <w:pStyle w:val="Style10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29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rStyle w:val="CharStyle12"/>
          <w:b w:val="0"/>
          <w:bCs w:val="0"/>
        </w:rPr>
        <w:t xml:space="preserve">Выписки из ЕГРН в формате </w:t>
      </w:r>
      <w:r>
        <w:rPr>
          <w:rStyle w:val="CharStyle12"/>
          <w:lang w:val="en-US" w:eastAsia="en-US" w:bidi="en-US"/>
          <w:b w:val="0"/>
          <w:bCs w:val="0"/>
        </w:rPr>
        <w:t xml:space="preserve">xml </w:t>
      </w:r>
      <w:r>
        <w:fldChar w:fldCharType="begin"/>
      </w:r>
      <w:r>
        <w:rPr>
          <w:rStyle w:val="CharStyle17"/>
        </w:rPr>
        <w:instrText> HYPERLINK "https://disk.yandex.ru/d/krKYrugigKZlpw" </w:instrText>
      </w:r>
      <w:r>
        <w:fldChar w:fldCharType="separate"/>
      </w:r>
      <w:r>
        <w:rPr>
          <w:rStyle w:val="Hyperlink"/>
          <w:b/>
          <w:bCs/>
        </w:rPr>
        <w:t>https://disk</w:t>
      </w:r>
      <w:r>
        <w:rPr>
          <w:rStyle w:val="Hyperlink"/>
          <w:b/>
          <w:bCs/>
        </w:rPr>
        <w:t>.</w:t>
      </w:r>
      <w:r>
        <w:rPr>
          <w:rStyle w:val="Hyperlink"/>
          <w:b/>
          <w:bCs/>
        </w:rPr>
        <w:t>yandex</w:t>
      </w:r>
      <w:r>
        <w:rPr>
          <w:rStyle w:val="Hyperlink"/>
          <w:b/>
          <w:bCs/>
        </w:rPr>
        <w:t>.</w:t>
      </w:r>
      <w:r>
        <w:rPr>
          <w:rStyle w:val="Hyperlink"/>
          <w:b/>
          <w:bCs/>
        </w:rPr>
        <w:t>ru/d/krKYrugigKZlpw</w:t>
      </w:r>
      <w:r>
        <w:fldChar w:fldCharType="end"/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29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Договор на прокладку и эксплуатацию инженерных коммуникаций в границах полосы отвода автомобильных дорог Новосибирской области №07-02-02/19/24 от 12.02.2024</w:t>
      </w:r>
    </w:p>
    <w:p>
      <w:pPr>
        <w:pStyle w:val="Style3"/>
        <w:numPr>
          <w:ilvl w:val="0"/>
          <w:numId w:val="1"/>
        </w:numPr>
        <w:framePr w:w="9744" w:h="4201" w:hRule="exact" w:wrap="none" w:vAnchor="page" w:hAnchor="page" w:x="1904" w:y="3598"/>
        <w:tabs>
          <w:tab w:leader="none" w:pos="2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Письмо администрации Куйбышевского района № 02-14/303 от 23.01.2024</w:t>
      </w:r>
    </w:p>
    <w:p>
      <w:pPr>
        <w:pStyle w:val="Style3"/>
        <w:framePr w:wrap="none" w:vAnchor="page" w:hAnchor="page" w:x="1347" w:y="800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13</w:t>
      </w:r>
    </w:p>
    <w:p>
      <w:pPr>
        <w:pStyle w:val="Style3"/>
        <w:framePr w:w="9072" w:h="1718" w:hRule="exact" w:wrap="none" w:vAnchor="page" w:hAnchor="page" w:x="1904" w:y="7953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</w:r>
    </w:p>
    <w:p>
      <w:pPr>
        <w:pStyle w:val="Style3"/>
        <w:framePr w:wrap="none" w:vAnchor="page" w:hAnchor="page" w:x="1347" w:y="987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14</w:t>
      </w:r>
    </w:p>
    <w:p>
      <w:pPr>
        <w:pStyle w:val="Style3"/>
        <w:framePr w:w="9072" w:h="1162" w:hRule="exact" w:wrap="none" w:vAnchor="page" w:hAnchor="page" w:x="1904" w:y="9824"/>
        <w:widowControl w:val="0"/>
        <w:keepNext w:val="0"/>
        <w:keepLines w:val="0"/>
        <w:shd w:val="clear" w:color="auto" w:fill="auto"/>
        <w:bidi w:val="0"/>
        <w:jc w:val="both"/>
        <w:spacing w:before="0" w:after="0" w:line="274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</w:r>
    </w:p>
    <w:p>
      <w:pPr>
        <w:pStyle w:val="Style3"/>
        <w:framePr w:wrap="none" w:vAnchor="page" w:hAnchor="page" w:x="1347" w:y="11192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15</w:t>
      </w:r>
    </w:p>
    <w:p>
      <w:pPr>
        <w:pStyle w:val="Style3"/>
        <w:framePr w:wrap="none" w:vAnchor="page" w:hAnchor="page" w:x="1904" w:y="1117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Подпись:</w:t>
      </w:r>
    </w:p>
    <w:p>
      <w:pPr>
        <w:framePr w:wrap="none" w:vAnchor="page" w:hAnchor="page" w:x="2557" w:y="11362"/>
        <w:widowControl w:val="0"/>
      </w:pPr>
    </w:p>
    <w:p>
      <w:pPr>
        <w:framePr w:wrap="none" w:vAnchor="page" w:hAnchor="page" w:x="3469" w:y="11208"/>
        <w:widowControl w:val="0"/>
      </w:pPr>
    </w:p>
    <w:p>
      <w:pPr>
        <w:pStyle w:val="Style3"/>
        <w:framePr w:wrap="none" w:vAnchor="page" w:hAnchor="page" w:x="9891" w:y="1118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Дата:</w:t>
      </w:r>
    </w:p>
    <w:p>
      <w:pPr>
        <w:pStyle w:val="Style3"/>
        <w:framePr w:wrap="none" w:vAnchor="page" w:hAnchor="page" w:x="6320" w:y="11677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rStyle w:val="CharStyle21"/>
        </w:rPr>
        <w:t>ИВ. Жуков</w:t>
      </w:r>
    </w:p>
    <w:p>
      <w:pPr>
        <w:pStyle w:val="Style3"/>
        <w:framePr w:wrap="none" w:vAnchor="page" w:hAnchor="page" w:x="2634" w:y="1197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(подпись)</w:t>
      </w:r>
    </w:p>
    <w:p>
      <w:pPr>
        <w:pStyle w:val="Style3"/>
        <w:framePr w:wrap="none" w:vAnchor="page" w:hAnchor="page" w:x="5763" w:y="11965"/>
        <w:widowControl w:val="0"/>
        <w:keepNext w:val="0"/>
        <w:keepLines w:val="0"/>
        <w:shd w:val="clear" w:color="auto" w:fill="auto"/>
        <w:bidi w:val="0"/>
        <w:jc w:val="left"/>
        <w:spacing w:before="0" w:after="0" w:line="22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(инициалы, фамилия)</w:t>
      </w:r>
    </w:p>
    <w:p>
      <w:pPr>
        <w:pStyle w:val="Style3"/>
        <w:framePr w:w="1411" w:h="619" w:hRule="exact" w:wrap="none" w:vAnchor="page" w:hAnchor="page" w:x="9536" w:y="11624"/>
        <w:widowControl w:val="0"/>
        <w:keepNext w:val="0"/>
        <w:keepLines w:val="0"/>
        <w:shd w:val="clear" w:color="auto" w:fill="auto"/>
        <w:bidi w:val="0"/>
        <w:jc w:val="center"/>
        <w:spacing w:before="0" w:after="0" w:line="274" w:lineRule="exact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"14" февраля</w:t>
        <w:br/>
        <w:t>2024 г.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2"/>
        <w:szCs w:val="22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 (2)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5">
    <w:name w:val="Основной текст (2) +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6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7">
    <w:name w:val="Основной текст (2) + Полужирный"/>
    <w:basedOn w:val="CharStyle4"/>
    <w:rPr>
      <w:lang w:val="en-US" w:eastAsia="en-US" w:bidi="en-US"/>
      <w:b/>
      <w:bCs/>
      <w:sz w:val="22"/>
      <w:szCs w:val="22"/>
      <w:w w:val="100"/>
      <w:spacing w:val="0"/>
      <w:color w:val="000000"/>
      <w:position w:val="0"/>
    </w:rPr>
  </w:style>
  <w:style w:type="character" w:customStyle="1" w:styleId="CharStyle8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9">
    <w:name w:val="Основной текст (2) + Calibri,10 pt"/>
    <w:basedOn w:val="CharStyle4"/>
    <w:rPr>
      <w:lang w:val="ru-RU" w:eastAsia="ru-RU" w:bidi="ru-RU"/>
      <w:sz w:val="20"/>
      <w:szCs w:val="20"/>
      <w:rFonts w:ascii="Calibri" w:eastAsia="Calibri" w:hAnsi="Calibri" w:cs="Calibri"/>
      <w:w w:val="100"/>
      <w:spacing w:val="0"/>
      <w:color w:val="000000"/>
      <w:position w:val="0"/>
    </w:rPr>
  </w:style>
  <w:style w:type="character" w:customStyle="1" w:styleId="CharStyle11">
    <w:name w:val="Основной текст (3)_"/>
    <w:basedOn w:val="DefaultParagraphFont"/>
    <w:link w:val="Style10"/>
    <w:rPr>
      <w:lang w:val="en-US" w:eastAsia="en-US" w:bidi="en-US"/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2">
    <w:name w:val="Основной текст (3) + Не полужирный"/>
    <w:basedOn w:val="CharStyle11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3">
    <w:name w:val="Основной текст (3)"/>
    <w:basedOn w:val="CharStyle11"/>
    <w:rPr>
      <w:u w:val="single"/>
      <w:w w:val="100"/>
      <w:spacing w:val="0"/>
      <w:color w:val="000000"/>
      <w:position w:val="0"/>
    </w:rPr>
  </w:style>
  <w:style w:type="character" w:customStyle="1" w:styleId="CharStyle14">
    <w:name w:val="Основной текст (2) + Полужирный"/>
    <w:basedOn w:val="CharStyle4"/>
    <w:rPr>
      <w:lang w:val="ru-RU" w:eastAsia="ru-RU" w:bidi="ru-RU"/>
      <w:b/>
      <w:bCs/>
      <w:u w:val="single"/>
      <w:w w:val="100"/>
      <w:spacing w:val="0"/>
      <w:color w:val="000000"/>
      <w:position w:val="0"/>
    </w:rPr>
  </w:style>
  <w:style w:type="character" w:customStyle="1" w:styleId="CharStyle15">
    <w:name w:val="Основной текст (2) + Полужирный"/>
    <w:basedOn w:val="CharStyle4"/>
    <w:rPr>
      <w:lang w:val="en-US" w:eastAsia="en-US" w:bidi="en-US"/>
      <w:b/>
      <w:bCs/>
      <w:u w:val="single"/>
      <w:w w:val="100"/>
      <w:spacing w:val="0"/>
      <w:color w:val="000000"/>
      <w:position w:val="0"/>
    </w:rPr>
  </w:style>
  <w:style w:type="character" w:customStyle="1" w:styleId="CharStyle16">
    <w:name w:val="Основной текст (2)"/>
    <w:basedOn w:val="CharStyle4"/>
    <w:rPr>
      <w:lang w:val="ru-RU" w:eastAsia="ru-RU" w:bidi="ru-RU"/>
      <w:w w:val="100"/>
      <w:spacing w:val="0"/>
      <w:color w:val="000000"/>
      <w:position w:val="0"/>
    </w:rPr>
  </w:style>
  <w:style w:type="character" w:customStyle="1" w:styleId="CharStyle17">
    <w:name w:val="Основной текст (3)"/>
    <w:basedOn w:val="CharStyle11"/>
    <w:rPr>
      <w:u w:val="single"/>
      <w:w w:val="100"/>
      <w:spacing w:val="0"/>
      <w:color w:val="000000"/>
      <w:position w:val="0"/>
    </w:rPr>
  </w:style>
  <w:style w:type="character" w:customStyle="1" w:styleId="CharStyle18">
    <w:name w:val="Основной текст (3)"/>
    <w:basedOn w:val="CharStyle11"/>
    <w:rPr>
      <w:u w:val="single"/>
      <w:w w:val="100"/>
      <w:spacing w:val="0"/>
      <w:color w:val="000000"/>
      <w:position w:val="0"/>
    </w:rPr>
  </w:style>
  <w:style w:type="character" w:customStyle="1" w:styleId="CharStyle20">
    <w:name w:val="Другое_"/>
    <w:basedOn w:val="DefaultParagraphFont"/>
    <w:link w:val="Style19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21">
    <w:name w:val="Основной текст (2)"/>
    <w:basedOn w:val="CharStyle4"/>
    <w:rPr>
      <w:lang w:val="ru-RU" w:eastAsia="ru-RU" w:bidi="ru-RU"/>
      <w:u w:val="single"/>
      <w:w w:val="100"/>
      <w:spacing w:val="0"/>
      <w:color w:val="000000"/>
      <w:position w:val="0"/>
    </w:rPr>
  </w:style>
  <w:style w:type="paragraph" w:customStyle="1" w:styleId="Style3">
    <w:name w:val="Основной текст (2)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9">
    <w:name w:val="Другое"/>
    <w:basedOn w:val="Normal"/>
    <w:link w:val="CharStyle20"/>
    <w:pPr>
      <w:widowControl w:val="0"/>
      <w:shd w:val="clear" w:color="auto" w:fill="FFFFFF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